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bidi w:val="0"/>
        <w:spacing w:lineRule="auto" w:line="276" w:before="0" w:after="140"/>
        <w:jc w:val="left"/>
        <w:rPr/>
      </w:pPr>
      <w:r>
        <w:rPr>
          <w:rStyle w:val="Mocnewyrnione"/>
          <w:rFonts w:ascii="times new roman;times;serif" w:hAnsi="times new roman;times;serif"/>
          <w:sz w:val="21"/>
        </w:rPr>
        <w:t>Podstawa prawna: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  <w:rFonts w:ascii="times new roman;times;serif" w:hAnsi="times new roman;times;serif"/>
          <w:sz w:val="21"/>
        </w:rPr>
        <w:t>Statut  Przedszkola Nr 9 w Mikołowie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  <w:rFonts w:ascii="times new roman;times;serif" w:hAnsi="times new roman;times;serif"/>
          <w:sz w:val="21"/>
        </w:rPr>
        <w:t>Rozporządzenie MENiS z dnia 31 grudnia 2002r., w sprawie bezpieczeństwa i higieny w publicznych i niepublicznych szkołach i placówkach </w:t>
        <w:br/>
        <w:t>(Dz.U. z 2003r.Nr 6, poz. 69, ze zm.)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  <w:rFonts w:ascii="times new roman;times;serif" w:hAnsi="times new roman;times;serif"/>
          <w:sz w:val="21"/>
        </w:rPr>
        <w:t>Kodeks rodzinny i opiekuńczy ustawa z dnia 25 lutego 1964 r (Dz. U. Nr 9, poz. 59 z późn. zm.)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  <w:rFonts w:ascii="times new roman;times;serif" w:hAnsi="times new roman;times;serif"/>
          <w:sz w:val="21"/>
        </w:rPr>
        <w:t>Ustawa o Postępowaniu w Sprawach Nieletnich z dnia 26 października 1982r. (Dz. U. z dnia 12 listopada 1982 r. z późn. zm.) – wybrane zagadnienia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>
          <w:rStyle w:val="Mocnewyrnione"/>
          <w:rFonts w:ascii="times new roman;times;serif" w:hAnsi="times new roman;times;serif"/>
          <w:sz w:val="21"/>
        </w:rPr>
        <w:t>Ustawa o systemie oświaty z dnia 7 września 1991r.= z późn. zm.</w:t>
      </w:r>
    </w:p>
    <w:p>
      <w:pPr>
        <w:pStyle w:val="Tretekstu"/>
        <w:bidi w:val="0"/>
        <w:jc w:val="left"/>
        <w:rPr>
          <w:rStyle w:val="Mocnewyrnione"/>
        </w:rPr>
      </w:pPr>
      <w:r>
        <w:rPr/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>
          <w:rStyle w:val="Mocnewyrnione"/>
          <w:rFonts w:ascii="times new roman;times;serif" w:hAnsi="times new roman;times;serif"/>
          <w:sz w:val="21"/>
        </w:rPr>
        <w:t>Cel główny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>
          <w:rStyle w:val="Mocnewyrnione"/>
          <w:rFonts w:ascii="times new roman;times;serif" w:hAnsi="times new roman;times;serif"/>
          <w:sz w:val="21"/>
        </w:rPr>
        <w:t>Wprowadzenie procedur dotyczących bezpieczeństwa dzieci w  Przedszkolu  Nr 9 w Mikołowie znajduje swoje uzasadnienie w trosce o zdrowie i bezpieczeństwo każdego dziecka objętego opieką naszej placówki.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>
          <w:rStyle w:val="Mocnewyrnione"/>
          <w:rFonts w:ascii="times new roman;times;serif" w:hAnsi="times new roman;times;serif"/>
          <w:sz w:val="21"/>
        </w:rPr>
        <w:t>W sytuacjach trudnych oraz zagrażających bezpieczeństwu dziecka nauczyciele i pozostały personel przedszkola są zobowiązani postępować zgodnie z przyjętymi procedurami.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>
          <w:rStyle w:val="Mocnewyrnione"/>
          <w:rFonts w:ascii="times new roman;times;serif" w:hAnsi="times new roman;times;serif"/>
          <w:sz w:val="21"/>
        </w:rPr>
        <w:t>Rodzice zobowiązani są znać i przestrzegać postanowienia niniejszego dokumentu.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>
          <w:rStyle w:val="Mocnewyrnione"/>
          <w:rFonts w:ascii="times new roman;times;serif" w:hAnsi="times new roman;times;serif"/>
          <w:sz w:val="21"/>
        </w:rPr>
        <w:t>Sposób prezentacji procedur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  <w:rFonts w:ascii="times new roman;times;serif" w:hAnsi="times new roman;times;serif"/>
          <w:sz w:val="21"/>
        </w:rPr>
        <w:t>Udostępnienie dokumentu na stronie internetowej.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  <w:rFonts w:ascii="times new roman;times;serif" w:hAnsi="times new roman;times;serif"/>
          <w:sz w:val="21"/>
        </w:rPr>
        <w:t>Zapoznanie wszystkich pracowników przedszkola z treścią procedur.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>
          <w:rStyle w:val="Mocnewyrnione"/>
          <w:rFonts w:ascii="times new roman;times;serif" w:hAnsi="times new roman;times;serif"/>
          <w:sz w:val="21"/>
        </w:rPr>
        <w:t>Zapoznanie rodziców z obowiązującymi w placówce procedurami na zebraniach organizacyjnych we wrześniu każdego roku szkolnego.</w:t>
      </w:r>
    </w:p>
    <w:p>
      <w:pPr>
        <w:pStyle w:val="Tretekstu"/>
        <w:bidi w:val="0"/>
        <w:jc w:val="left"/>
        <w:rPr/>
      </w:pPr>
      <w:r>
        <w:rPr>
          <w:rStyle w:val="Mocnewyrnione"/>
          <w:rFonts w:ascii="times new roman;times;serif" w:hAnsi="times new roman;times;serif"/>
          <w:sz w:val="21"/>
        </w:rPr>
        <w:t>Dokonywanie zmian w procedurach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>
          <w:rStyle w:val="Mocnewyrnione"/>
          <w:rFonts w:ascii="times new roman;times;serif" w:hAnsi="times new roman;times;serif"/>
          <w:sz w:val="21"/>
        </w:rPr>
        <w:t>Wszelkich zmian w opracowanych procedurach dotyczących bezpieczeństwa dzieci w przedszkolu może dokonać z własnej inicjatywy lub na wniosek rady pedagogicznej dyrektor placówki. Wnioskodawcą zmian może być również Rada Rodziców.</w:t>
      </w:r>
    </w:p>
    <w:p>
      <w:pPr>
        <w:pStyle w:val="Tretekstu"/>
        <w:bidi w:val="0"/>
        <w:spacing w:lineRule="auto" w:line="276" w:before="0" w:after="140"/>
        <w:jc w:val="left"/>
        <w:rPr>
          <w:rStyle w:val="Mocnewyrnione"/>
        </w:rPr>
      </w:pPr>
      <w:r>
        <w:rPr/>
      </w:r>
    </w:p>
    <w:p>
      <w:pPr>
        <w:pStyle w:val="Tretekstu"/>
        <w:bidi w:val="0"/>
        <w:jc w:val="center"/>
        <w:rPr/>
      </w:pPr>
      <w:r>
        <w:rPr>
          <w:rStyle w:val="Mocnewyrnione"/>
          <w:sz w:val="27"/>
        </w:rPr>
        <w:t>I PROCEDURA</w:t>
        <w:br/>
        <w:t>Przyprowadzanie i odbieranie dziecka z przedszkola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</w:rPr>
        <w:t>Za bezpieczeństwo dzieci w drodze do przedszkola i z przedszkola odpowiadają rodzice/prawni opiekunowie.</w:t>
        <w:br/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</w:rPr>
        <w:t>Rodzice osobiście powierzają dziecko nauczycielowi, co oznacza, że zobowiązani są wprowadzić dziecko do sali. Nauczyciel, pomoc nauczyciela musi widzieć i wiedzieć, kto przyprowadził dziecko do sali.</w:t>
        <w:br/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</w:rPr>
        <w:t>Nauczyciel bierze pełną odpowiedzialność za dziecko od momentu jego wejścia do sali.</w:t>
        <w:br/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</w:rPr>
        <w:t>Rodzice/prawni opiekunowie mają obowiązek przyprowadzać do przedszkola dziecko zdrowe i czyste. Wszelkie dolegliwości dziecka zobowiązani są zgłaszać nauczycielowi i udzielać wyczerpujących informacji na ten temat.</w:t>
        <w:br/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</w:rPr>
        <w:t>Dziecka chorego lub podejrzanego o chorobę nie należy przyprowadzać do placówki. Nauczyciel ma prawo odmówić przyjęcia dziecka, jeśli jego stan sugeruje, że nie jest ono zdrowe. W takim przypadku, rodzice są proszeni o dokonanie konsultacji lekarskiej.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</w:rPr>
        <w:t> </w:t>
      </w:r>
      <w:r>
        <w:rPr>
          <w:rStyle w:val="Mocnewyrnione"/>
        </w:rPr>
        <w:t>O późniejszym przybyciu dziecka w danym dniu, (po godz. 8.30) należy poinformować wcześniej.</w:t>
        <w:br/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</w:rPr>
        <w:t>Wydanie dziecka innym osobom, niż rodzice/prawni opiekunowie może nastąpić tylko w przypadku pisemnego upoważnienia podpisanego przez rodziców/ prawnych opiekunów. Wypełnione upoważnienie z wykazem osób odpowiedzialnych za odbiór dziecka z przedszkola rodzice/opiekunowie składają osobiście u nauczyciela grupy lub w kancelarii przedszkola, przed rozpoczęciem roku szkolnego. Zmiany w oświadczeniu również podpisują obydwoje rodziców.</w:t>
        <w:br/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</w:rPr>
        <w:t>Osoby upoważnione do odbioru dziecka z przedszkola muszą podpisać zgodę na przetwarzanie danych osobowych dostępną u wychowawców grup.</w:t>
        <w:br/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</w:rPr>
        <w:t>W oddziałach porannego zbierania się i popołudniowego rozchodzenia się dzieci muszą znajdować się oświadczenia osób upoważnionych do odbioru dzieci z każdej grupy wiekowej.</w:t>
        <w:br/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</w:rPr>
        <w:t>Nauczyciel w razie najmniejszych wątpliwości, ma obowiązek sprawdzić zgodność danych osoby odbierającej dziecko z przedszkola z dokumentem tożsamości.</w:t>
        <w:br/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</w:rPr>
        <w:t>Jeśli okaże się, że dane nie są zgodne, nauczyciel powiadamia rodziców/prawnych opiekunów i dyrektora placówki oraz nie wydaje dziecka do wyjaśnienia sprawy.</w:t>
        <w:br/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Style w:val="Mocnewyrnione"/>
        </w:rPr>
        <w:t>Przy odbieraniu dziecka z ogrodu przedszkolnego wymaga się od rodziców/ prawnych opiekunów, aby podeszli z dzieckiem do nauczyciela i zgłosili fakt odebrania dziecka.</w:t>
        <w:br/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>
          <w:rStyle w:val="Mocnewyrnione"/>
        </w:rPr>
        <w:t>Dopuszcza się możliwość wydania dziecka innej osobie, niż wymienione w upoważnieniu, jednak wyłącznie po uprzednim przekazaniu takiej informacji przez rodziców/prawnych opiekunów bezpośrednio nauczycielowi lub dyrekcji w formie pisemnej (upoważnienie jednorazowe). W wyjątkowych sytuacjach, za zgodą dyrektora, dopuszcza się formę ustną.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altName w:val="times"/>
    <w:charset w:val="ee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LibreOffice/6.4.2.2$Windows_X86_64 LibreOffice_project/4e471d8c02c9c90f512f7f9ead8875b57fcb1ec3</Application>
  <Pages>2</Pages>
  <Words>559</Words>
  <Characters>3598</Characters>
  <CharactersWithSpaces>4123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2020-09-18T11:15:36Z</dcterms:created>
  <dc:creator/>
  <dc:description/>
  <dc:language>pl-PL</dc:language>
  <cp:lastModifiedBy/>
  <dcterms:modified xsi:type="dcterms:W3CDTF">2020-09-18T11:17:23Z</dcterms:modified>
  <cp:revision>1</cp:revision>
  <dc:subject/>
  <dc:title/>
</cp:coreProperties>
</file>